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70538" w14:paraId="28CBE34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3BA2F4B" w14:textId="77777777" w:rsidR="00270538" w:rsidRDefault="005E7725">
            <w:pPr>
              <w:spacing w:after="0" w:line="240" w:lineRule="auto"/>
            </w:pPr>
            <w:proofErr w:type="spellStart"/>
            <w:r>
              <w:rPr>
                <w:b/>
              </w:rPr>
              <w:t>RKP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8B527FE" w14:textId="77777777" w:rsidR="00270538" w:rsidRDefault="005E7725">
            <w:pPr>
              <w:spacing w:after="0" w:line="240" w:lineRule="auto"/>
            </w:pPr>
            <w:r>
              <w:t>24221</w:t>
            </w:r>
          </w:p>
        </w:tc>
      </w:tr>
      <w:tr w:rsidR="00270538" w14:paraId="4452F65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0DB4136" w14:textId="77777777" w:rsidR="00270538" w:rsidRDefault="005E7725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661785A" w14:textId="77777777" w:rsidR="00270538" w:rsidRDefault="005E7725">
            <w:pPr>
              <w:spacing w:after="0" w:line="240" w:lineRule="auto"/>
            </w:pPr>
            <w:r>
              <w:t>MUZEJ TUROPOLJA</w:t>
            </w:r>
          </w:p>
        </w:tc>
      </w:tr>
      <w:tr w:rsidR="00270538" w14:paraId="5412815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DC0C1FE" w14:textId="77777777" w:rsidR="00270538" w:rsidRDefault="005E772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6DF0012" w14:textId="77777777" w:rsidR="00270538" w:rsidRDefault="005E7725">
            <w:pPr>
              <w:spacing w:after="0" w:line="240" w:lineRule="auto"/>
            </w:pPr>
            <w:r>
              <w:t>21</w:t>
            </w:r>
          </w:p>
        </w:tc>
      </w:tr>
    </w:tbl>
    <w:p w14:paraId="64F9A9EB" w14:textId="77777777" w:rsidR="00270538" w:rsidRDefault="005E7725">
      <w:r>
        <w:br/>
      </w:r>
    </w:p>
    <w:p w14:paraId="58F8941B" w14:textId="77777777" w:rsidR="00270538" w:rsidRDefault="005E7725">
      <w:pPr>
        <w:spacing w:line="240" w:lineRule="auto"/>
        <w:jc w:val="center"/>
      </w:pPr>
      <w:proofErr w:type="spellStart"/>
      <w:r>
        <w:rPr>
          <w:b/>
          <w:sz w:val="28"/>
        </w:rPr>
        <w:t>BILJEŠKE</w:t>
      </w:r>
      <w:proofErr w:type="spellEnd"/>
      <w:r>
        <w:rPr>
          <w:b/>
          <w:sz w:val="28"/>
        </w:rPr>
        <w:t xml:space="preserve"> UZ </w:t>
      </w:r>
      <w:proofErr w:type="spellStart"/>
      <w:r>
        <w:rPr>
          <w:b/>
          <w:sz w:val="28"/>
        </w:rPr>
        <w:t>FINANCIJSKE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IZVJEŠTAJE</w:t>
      </w:r>
      <w:proofErr w:type="spellEnd"/>
    </w:p>
    <w:p w14:paraId="5356B3B0" w14:textId="77777777" w:rsidR="00270538" w:rsidRDefault="005E7725">
      <w:pPr>
        <w:spacing w:line="240" w:lineRule="auto"/>
        <w:jc w:val="center"/>
      </w:pPr>
      <w:r>
        <w:rPr>
          <w:b/>
          <w:sz w:val="28"/>
        </w:rPr>
        <w:t xml:space="preserve">ZA </w:t>
      </w:r>
      <w:proofErr w:type="spellStart"/>
      <w:r>
        <w:rPr>
          <w:b/>
          <w:sz w:val="28"/>
        </w:rPr>
        <w:t>RAZDOBLJE</w:t>
      </w:r>
      <w:proofErr w:type="spellEnd"/>
    </w:p>
    <w:p w14:paraId="403845A6" w14:textId="77777777" w:rsidR="00270538" w:rsidRDefault="005E772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9D4BB8F" w14:textId="77777777" w:rsidR="00270538" w:rsidRDefault="00270538"/>
    <w:p w14:paraId="012C3704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184754AB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2DB6E8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7F127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B19A9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411D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E4CF2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AD98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92BE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30A7A2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2D763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DDE481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40625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CBF1D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478.718,85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C972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405.267,50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05272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84,7</w:t>
            </w:r>
          </w:p>
        </w:tc>
      </w:tr>
      <w:tr w:rsidR="00270538" w14:paraId="16DF6F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6AB58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812EE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B04A3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DA253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329.989,63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9447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421.905,23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340F3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127,9</w:t>
            </w:r>
          </w:p>
        </w:tc>
      </w:tr>
      <w:tr w:rsidR="00270538" w14:paraId="319291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7075D" w14:textId="77777777" w:rsidR="00270538" w:rsidRDefault="002705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4229D8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MANJAK</w:t>
            </w:r>
            <w:proofErr w:type="spellEnd"/>
            <w:r>
              <w:rPr>
                <w:b/>
                <w:sz w:val="18"/>
              </w:rPr>
              <w:t xml:space="preserve"> PRIHODA </w:t>
            </w:r>
            <w:proofErr w:type="spellStart"/>
            <w:r>
              <w:rPr>
                <w:b/>
                <w:sz w:val="18"/>
              </w:rPr>
              <w:t>POSLOVANJA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Z005</w:t>
            </w:r>
            <w:proofErr w:type="spellEnd"/>
            <w:r>
              <w:rPr>
                <w:b/>
                <w:sz w:val="18"/>
              </w:rPr>
              <w:t>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BF9A4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Y001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B4EEEF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EFEF3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16.637,73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C765A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70538" w14:paraId="6EC6C9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6B3AD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87CB70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946E7E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F9358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A459F4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BCE5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0538" w14:paraId="5FBA61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3979AB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D830A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90262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D24B9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88.759,43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68CBF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5.888,33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2566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6,6</w:t>
            </w:r>
          </w:p>
        </w:tc>
      </w:tr>
      <w:tr w:rsidR="00270538" w14:paraId="5B63AA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1E7AB" w14:textId="77777777" w:rsidR="00270538" w:rsidRDefault="002705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6138FA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MANJAK</w:t>
            </w:r>
            <w:proofErr w:type="spellEnd"/>
            <w:r>
              <w:rPr>
                <w:b/>
                <w:sz w:val="18"/>
              </w:rPr>
              <w:t xml:space="preserve"> PRIHODA OD </w:t>
            </w:r>
            <w:proofErr w:type="spellStart"/>
            <w:r>
              <w:rPr>
                <w:b/>
                <w:sz w:val="18"/>
              </w:rPr>
              <w:t>NEFINANCIJSKE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IMOVINE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3AEF4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Y002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EBA235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88.759,43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A7D6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5.888,33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8DFF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6,6</w:t>
            </w:r>
          </w:p>
        </w:tc>
      </w:tr>
      <w:tr w:rsidR="00270538" w14:paraId="7041DD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7299B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23DDB9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DE7D0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2D5BA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E1F22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D17A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0538" w14:paraId="203F31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D8846D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D1DBD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ADB2F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7A045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C5D3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010BF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0538" w14:paraId="59F120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B7163" w14:textId="77777777" w:rsidR="00270538" w:rsidRDefault="002705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9C39F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VIŠAK</w:t>
            </w:r>
            <w:proofErr w:type="spell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MANJAK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PRIMITAKA</w:t>
            </w:r>
            <w:proofErr w:type="spellEnd"/>
            <w:r>
              <w:rPr>
                <w:b/>
                <w:sz w:val="18"/>
              </w:rPr>
              <w:t xml:space="preserve"> OD </w:t>
            </w:r>
            <w:proofErr w:type="spellStart"/>
            <w:r>
              <w:rPr>
                <w:b/>
                <w:sz w:val="18"/>
              </w:rPr>
              <w:t>FINANCIJSKE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IMOVINE</w:t>
            </w:r>
            <w:proofErr w:type="spellEnd"/>
            <w:r>
              <w:rPr>
                <w:b/>
                <w:sz w:val="18"/>
              </w:rPr>
              <w:t xml:space="preserve"> I </w:t>
            </w:r>
            <w:proofErr w:type="spellStart"/>
            <w:r>
              <w:rPr>
                <w:b/>
                <w:sz w:val="18"/>
              </w:rPr>
              <w:t>ZADUŽIVANJA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E290BD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X003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Y003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784BF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0C3DF3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14D5A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70538" w14:paraId="56CFED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4FDCA" w14:textId="77777777" w:rsidR="00270538" w:rsidRDefault="002705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8F737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MANJAK</w:t>
            </w:r>
            <w:proofErr w:type="spellEnd"/>
            <w:r>
              <w:rPr>
                <w:b/>
                <w:sz w:val="18"/>
              </w:rPr>
              <w:t xml:space="preserve"> PRIHODA I </w:t>
            </w:r>
            <w:proofErr w:type="spellStart"/>
            <w:r>
              <w:rPr>
                <w:b/>
                <w:sz w:val="18"/>
              </w:rPr>
              <w:t>PRIMITAKA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Y345-X678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0C1BB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b/>
                <w:sz w:val="18"/>
              </w:rPr>
              <w:t>Y005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53172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6CED6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22.526,06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39BB37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1E26329" w14:textId="77777777" w:rsidR="00270538" w:rsidRDefault="00270538">
      <w:pPr>
        <w:spacing w:after="0"/>
      </w:pPr>
    </w:p>
    <w:p w14:paraId="6502CA46" w14:textId="77777777" w:rsidR="00270538" w:rsidRDefault="005E7725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6) </w:t>
      </w:r>
      <w:proofErr w:type="spellStart"/>
      <w:r>
        <w:t>iznos</w:t>
      </w:r>
      <w:proofErr w:type="spellEnd"/>
      <w:r>
        <w:t xml:space="preserve"> 405.267,50 </w:t>
      </w:r>
      <w:proofErr w:type="spellStart"/>
      <w:r>
        <w:t>sastoje</w:t>
      </w:r>
      <w:proofErr w:type="spellEnd"/>
      <w:r>
        <w:t xml:space="preserve"> se od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tekućih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JLP(R)S,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ulaznica</w:t>
      </w:r>
      <w:proofErr w:type="spellEnd"/>
      <w:r>
        <w:t xml:space="preserve">,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prodanih</w:t>
      </w:r>
      <w:proofErr w:type="spellEnd"/>
      <w:r>
        <w:t xml:space="preserve"> </w:t>
      </w:r>
      <w:proofErr w:type="spellStart"/>
      <w:r>
        <w:t>proizvoda</w:t>
      </w:r>
      <w:proofErr w:type="spellEnd"/>
      <w:r>
        <w:t xml:space="preserve">,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,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3716C9FB" w14:textId="77777777" w:rsidR="00270538" w:rsidRDefault="005E7725">
      <w:pPr>
        <w:jc w:val="both"/>
      </w:pPr>
      <w:proofErr w:type="spellStart"/>
      <w:r>
        <w:lastRenderedPageBreak/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3) u </w:t>
      </w:r>
      <w:proofErr w:type="spellStart"/>
      <w:r>
        <w:t>iznosu</w:t>
      </w:r>
      <w:proofErr w:type="spellEnd"/>
      <w:r>
        <w:t xml:space="preserve"> 421.905,23 </w:t>
      </w:r>
      <w:proofErr w:type="spellStart"/>
      <w:r>
        <w:t>sastoje</w:t>
      </w:r>
      <w:proofErr w:type="spellEnd"/>
      <w:r>
        <w:t xml:space="preserve"> se od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>.</w:t>
      </w:r>
    </w:p>
    <w:p w14:paraId="004F77E8" w14:textId="77777777" w:rsidR="00270538" w:rsidRDefault="005E7725">
      <w:pPr>
        <w:jc w:val="both"/>
      </w:pP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šifra</w:t>
      </w:r>
      <w:proofErr w:type="spellEnd"/>
      <w:r>
        <w:t xml:space="preserve"> 4) u </w:t>
      </w:r>
      <w:proofErr w:type="spellStart"/>
      <w:r>
        <w:t>iznosu</w:t>
      </w:r>
      <w:proofErr w:type="spellEnd"/>
      <w:r>
        <w:t xml:space="preserve"> 5.888,33 </w:t>
      </w:r>
      <w:proofErr w:type="spellStart"/>
      <w:r>
        <w:t>sastoje</w:t>
      </w:r>
      <w:proofErr w:type="spellEnd"/>
      <w:r>
        <w:t xml:space="preserve"> se od </w:t>
      </w:r>
      <w:proofErr w:type="spellStart"/>
      <w:r>
        <w:t>računala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komunikacijskih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,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, </w:t>
      </w:r>
      <w:proofErr w:type="spellStart"/>
      <w:r>
        <w:t>knjiga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muzejskih</w:t>
      </w:r>
      <w:proofErr w:type="spellEnd"/>
      <w:r>
        <w:t xml:space="preserve"> </w:t>
      </w:r>
      <w:proofErr w:type="spellStart"/>
      <w:r>
        <w:t>izložaka</w:t>
      </w:r>
      <w:proofErr w:type="spellEnd"/>
      <w:r>
        <w:t>.</w:t>
      </w:r>
    </w:p>
    <w:p w14:paraId="03B7AAF8" w14:textId="77777777" w:rsidR="00270538" w:rsidRDefault="005E7725">
      <w:pPr>
        <w:jc w:val="both"/>
      </w:pP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16.637,73 </w:t>
      </w:r>
      <w:proofErr w:type="spellStart"/>
      <w:r>
        <w:t>nastaje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razlika</w:t>
      </w:r>
      <w:proofErr w:type="spellEnd"/>
      <w:r>
        <w:t xml:space="preserve"> </w:t>
      </w:r>
      <w:proofErr w:type="spellStart"/>
      <w:r>
        <w:t>ukupnih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.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22.526,06.</w:t>
      </w:r>
    </w:p>
    <w:p w14:paraId="38269B9A" w14:textId="77777777" w:rsidR="00270538" w:rsidRDefault="005E7725">
      <w:pPr>
        <w:jc w:val="both"/>
      </w:pPr>
      <w:r>
        <w:t xml:space="preserve">Prema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modificirano</w:t>
      </w:r>
      <w:proofErr w:type="spellEnd"/>
      <w:r>
        <w:t xml:space="preserve"> </w:t>
      </w:r>
      <w:proofErr w:type="spellStart"/>
      <w:r>
        <w:t>računovodstveno</w:t>
      </w:r>
      <w:proofErr w:type="spellEnd"/>
      <w:r>
        <w:t xml:space="preserve"> </w:t>
      </w:r>
      <w:proofErr w:type="spellStart"/>
      <w:r>
        <w:t>načelo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 </w:t>
      </w:r>
      <w:proofErr w:type="spellStart"/>
      <w:r>
        <w:t>nalaže</w:t>
      </w:r>
      <w:proofErr w:type="spellEnd"/>
      <w:r>
        <w:t xml:space="preserve"> da se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priznaju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događaja</w:t>
      </w:r>
      <w:proofErr w:type="spellEnd"/>
      <w:r>
        <w:t xml:space="preserve">, </w:t>
      </w:r>
      <w:proofErr w:type="spellStart"/>
      <w:r>
        <w:t>neovisno</w:t>
      </w:r>
      <w:proofErr w:type="spellEnd"/>
      <w:r>
        <w:t xml:space="preserve"> o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, a </w:t>
      </w:r>
      <w:proofErr w:type="spellStart"/>
      <w:r>
        <w:t>prihodi</w:t>
      </w:r>
      <w:proofErr w:type="spellEnd"/>
      <w:r>
        <w:t xml:space="preserve"> se </w:t>
      </w:r>
      <w:proofErr w:type="spellStart"/>
      <w:r>
        <w:t>priznaju</w:t>
      </w:r>
      <w:proofErr w:type="spellEnd"/>
      <w:r>
        <w:t xml:space="preserve"> u </w:t>
      </w:r>
      <w:proofErr w:type="spellStart"/>
      <w:r>
        <w:t>trenutku</w:t>
      </w:r>
      <w:proofErr w:type="spellEnd"/>
      <w:r>
        <w:t xml:space="preserve"> </w:t>
      </w:r>
      <w:proofErr w:type="spellStart"/>
      <w:r>
        <w:t>priljeva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se plate, </w:t>
      </w:r>
      <w:proofErr w:type="spellStart"/>
      <w:r>
        <w:t>zbog</w:t>
      </w:r>
      <w:proofErr w:type="spellEnd"/>
      <w:r>
        <w:t xml:space="preserve"> toga je </w:t>
      </w:r>
      <w:proofErr w:type="spellStart"/>
      <w:r>
        <w:t>evidentiran</w:t>
      </w:r>
      <w:proofErr w:type="spellEnd"/>
      <w:r>
        <w:t xml:space="preserve"> </w:t>
      </w:r>
      <w:proofErr w:type="spellStart"/>
      <w:r>
        <w:t>metodološki</w:t>
      </w:r>
      <w:proofErr w:type="spellEnd"/>
      <w:r>
        <w:t xml:space="preserve"> </w:t>
      </w:r>
      <w:proofErr w:type="spellStart"/>
      <w:r>
        <w:t>manjak</w:t>
      </w:r>
      <w:proofErr w:type="spellEnd"/>
      <w:r>
        <w:t>.</w:t>
      </w:r>
    </w:p>
    <w:p w14:paraId="3C2C2AF0" w14:textId="1DA344F6" w:rsidR="00270538" w:rsidRDefault="00270538"/>
    <w:p w14:paraId="05781188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21AA0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547C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0628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1CEB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2D508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437C5C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69C62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6644B7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56309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550CCF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posebnim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propisima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95869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18DB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16.395,85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54EBD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19.741,19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A6C2D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14:paraId="7548B840" w14:textId="77777777" w:rsidR="00270538" w:rsidRDefault="00270538">
      <w:pPr>
        <w:spacing w:after="0"/>
      </w:pPr>
    </w:p>
    <w:p w14:paraId="01D1681D" w14:textId="77777777" w:rsidR="00270538" w:rsidRDefault="005E7725">
      <w:proofErr w:type="spellStart"/>
      <w:r>
        <w:t>Šifra</w:t>
      </w:r>
      <w:proofErr w:type="spellEnd"/>
      <w:r>
        <w:t xml:space="preserve"> 652 </w:t>
      </w:r>
      <w:proofErr w:type="spellStart"/>
      <w:r>
        <w:t>indeks</w:t>
      </w:r>
      <w:proofErr w:type="spellEnd"/>
      <w:r>
        <w:t xml:space="preserve"> 120,4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ulaznica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5993D38F" w14:textId="77777777" w:rsidR="00270538" w:rsidRDefault="00270538"/>
    <w:p w14:paraId="1728098B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1F4966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2D5E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44EB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D8A72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4EC7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05BC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DFDA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69AE15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E1E37A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E0A752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pruženih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FD31F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D34067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5A77E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598A6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333,3</w:t>
            </w:r>
          </w:p>
        </w:tc>
      </w:tr>
    </w:tbl>
    <w:p w14:paraId="566ACAEC" w14:textId="77777777" w:rsidR="00270538" w:rsidRDefault="00270538">
      <w:pPr>
        <w:spacing w:after="0"/>
      </w:pPr>
    </w:p>
    <w:p w14:paraId="59F79DD8" w14:textId="77777777" w:rsidR="00270538" w:rsidRDefault="005E7725">
      <w:proofErr w:type="spellStart"/>
      <w:r>
        <w:t>Šifra</w:t>
      </w:r>
      <w:proofErr w:type="spellEnd"/>
      <w:r>
        <w:t xml:space="preserve"> 6615 </w:t>
      </w:r>
      <w:proofErr w:type="spellStart"/>
      <w:r>
        <w:t>indeks</w:t>
      </w:r>
      <w:proofErr w:type="spellEnd"/>
      <w:r>
        <w:t xml:space="preserve"> 333,3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najma</w:t>
      </w:r>
      <w:proofErr w:type="spellEnd"/>
      <w:r>
        <w:t xml:space="preserve"> </w:t>
      </w:r>
      <w:proofErr w:type="spellStart"/>
      <w:r>
        <w:t>prodajnog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manifestaciji</w:t>
      </w:r>
      <w:proofErr w:type="spellEnd"/>
      <w:r>
        <w:t>.</w:t>
      </w:r>
    </w:p>
    <w:p w14:paraId="0B6F46B5" w14:textId="77777777" w:rsidR="00270538" w:rsidRDefault="00270538"/>
    <w:p w14:paraId="46F83C0F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210730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4EF08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2C8B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BFBC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6407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483F4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6F66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594A21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DC4DC8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A0BCBC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Plaće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bruto</w:t>
            </w:r>
            <w:proofErr w:type="spellEnd"/>
            <w:r>
              <w:rPr>
                <w:sz w:val="18"/>
              </w:rPr>
              <w:t>)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55249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29A2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157.836,08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FB523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211.509,14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4CEB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134,0</w:t>
            </w:r>
          </w:p>
        </w:tc>
      </w:tr>
    </w:tbl>
    <w:p w14:paraId="0BE13939" w14:textId="77777777" w:rsidR="00270538" w:rsidRDefault="00270538">
      <w:pPr>
        <w:spacing w:after="0"/>
      </w:pPr>
    </w:p>
    <w:p w14:paraId="3C881120" w14:textId="1B9957F4" w:rsidR="00270538" w:rsidRDefault="005E7725">
      <w:proofErr w:type="spellStart"/>
      <w:r>
        <w:t>Šifra</w:t>
      </w:r>
      <w:proofErr w:type="spellEnd"/>
      <w:r>
        <w:t xml:space="preserve"> 311 </w:t>
      </w:r>
      <w:proofErr w:type="spellStart"/>
      <w:r>
        <w:t>indeks</w:t>
      </w:r>
      <w:proofErr w:type="spellEnd"/>
      <w:r>
        <w:t xml:space="preserve"> 134,0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4B05C008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7D659F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4D0B8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7E634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73E0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40E3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2A5E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473A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6C1A4E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A465BD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DFC9B8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zaposlene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A6B50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3C33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6.067,81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5D9A5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12.536,42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B6ABB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206,6</w:t>
            </w:r>
          </w:p>
        </w:tc>
      </w:tr>
    </w:tbl>
    <w:p w14:paraId="48543B10" w14:textId="77777777" w:rsidR="00270538" w:rsidRDefault="00270538">
      <w:pPr>
        <w:spacing w:after="0"/>
      </w:pPr>
    </w:p>
    <w:p w14:paraId="626AACDA" w14:textId="77777777" w:rsidR="00270538" w:rsidRDefault="005E7725">
      <w:proofErr w:type="spellStart"/>
      <w:r>
        <w:t>Šifra</w:t>
      </w:r>
      <w:proofErr w:type="spellEnd"/>
      <w:r>
        <w:t xml:space="preserve"> 312 </w:t>
      </w:r>
      <w:proofErr w:type="spellStart"/>
      <w:r>
        <w:t>indeks</w:t>
      </w:r>
      <w:proofErr w:type="spellEnd"/>
      <w:r>
        <w:t xml:space="preserve"> 206,6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povećanog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31761172" w14:textId="77777777" w:rsidR="00270538" w:rsidRDefault="00270538"/>
    <w:p w14:paraId="19880B9F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64BA98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2980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DE52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E03DC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6C2D9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DD3F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8F84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504D6F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51A55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0269D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638EB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247B7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7.399,03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6281A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11.937,03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D2125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161,3</w:t>
            </w:r>
          </w:p>
        </w:tc>
      </w:tr>
    </w:tbl>
    <w:p w14:paraId="45A8DFD8" w14:textId="77777777" w:rsidR="00270538" w:rsidRDefault="00270538">
      <w:pPr>
        <w:spacing w:after="0"/>
      </w:pPr>
    </w:p>
    <w:p w14:paraId="7AA030D1" w14:textId="77777777" w:rsidR="00270538" w:rsidRDefault="005E7725">
      <w:proofErr w:type="spellStart"/>
      <w:r>
        <w:t>Šifra</w:t>
      </w:r>
      <w:proofErr w:type="spellEnd"/>
      <w:r>
        <w:t xml:space="preserve"> 3223 </w:t>
      </w:r>
      <w:proofErr w:type="spellStart"/>
      <w:r>
        <w:t>indeks</w:t>
      </w:r>
      <w:proofErr w:type="spellEnd"/>
      <w:r>
        <w:t xml:space="preserve"> 161,3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energija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Interpretacijski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Muzeja</w:t>
      </w:r>
      <w:proofErr w:type="spellEnd"/>
      <w:r>
        <w:t xml:space="preserve"> Turopolja.</w:t>
      </w:r>
    </w:p>
    <w:p w14:paraId="6E7DA979" w14:textId="77777777" w:rsidR="00270538" w:rsidRDefault="00270538"/>
    <w:p w14:paraId="65DB885B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4883C9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AFF9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B6F2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55489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8EC5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017B5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A3A85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4D4E04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53E45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929C02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interneta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pošte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prijevoza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7C263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90949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4.355,30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60DA2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5F113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155,3</w:t>
            </w:r>
          </w:p>
        </w:tc>
      </w:tr>
    </w:tbl>
    <w:p w14:paraId="451433BC" w14:textId="77777777" w:rsidR="00270538" w:rsidRDefault="00270538">
      <w:pPr>
        <w:spacing w:after="0"/>
      </w:pPr>
    </w:p>
    <w:p w14:paraId="33119A53" w14:textId="77777777" w:rsidR="00270538" w:rsidRDefault="005E7725">
      <w:proofErr w:type="spellStart"/>
      <w:r>
        <w:t>Šifra</w:t>
      </w:r>
      <w:proofErr w:type="spellEnd"/>
      <w:r>
        <w:t xml:space="preserve"> 3231 </w:t>
      </w:r>
      <w:proofErr w:type="spellStart"/>
      <w:r>
        <w:t>indeks</w:t>
      </w:r>
      <w:proofErr w:type="spellEnd"/>
      <w:r>
        <w:t xml:space="preserve"> 155,3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, </w:t>
      </w:r>
      <w:proofErr w:type="spellStart"/>
      <w:r>
        <w:t>interneta</w:t>
      </w:r>
      <w:proofErr w:type="spellEnd"/>
      <w:r>
        <w:t xml:space="preserve">, </w:t>
      </w:r>
      <w:proofErr w:type="spellStart"/>
      <w:r>
        <w:t>pošte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Interpretacijski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Muzeja</w:t>
      </w:r>
      <w:proofErr w:type="spellEnd"/>
      <w:r>
        <w:t xml:space="preserve"> Turopolja.</w:t>
      </w:r>
    </w:p>
    <w:p w14:paraId="455A32A0" w14:textId="77777777" w:rsidR="00270538" w:rsidRDefault="00270538"/>
    <w:p w14:paraId="3055011D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6CF33A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878F8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5AE3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951F1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95C0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B307C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FDFA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65B7B6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54703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221024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1E496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3B081D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15.871,77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30E29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26.804,54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331BA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168,9</w:t>
            </w:r>
          </w:p>
        </w:tc>
      </w:tr>
    </w:tbl>
    <w:p w14:paraId="53D0AE6C" w14:textId="77777777" w:rsidR="00270538" w:rsidRDefault="00270538">
      <w:pPr>
        <w:spacing w:after="0"/>
      </w:pPr>
    </w:p>
    <w:p w14:paraId="07C055EE" w14:textId="77777777" w:rsidR="00270538" w:rsidRDefault="005E7725">
      <w:proofErr w:type="spellStart"/>
      <w:r>
        <w:t>Šifra</w:t>
      </w:r>
      <w:proofErr w:type="spellEnd"/>
      <w:r>
        <w:t xml:space="preserve"> 3232 </w:t>
      </w:r>
      <w:proofErr w:type="spellStart"/>
      <w:r>
        <w:t>indeks</w:t>
      </w:r>
      <w:proofErr w:type="spellEnd"/>
      <w:r>
        <w:t xml:space="preserve"> 168,9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Interpretacijski</w:t>
      </w:r>
      <w:proofErr w:type="spellEnd"/>
      <w:r>
        <w:t xml:space="preserve"> </w:t>
      </w:r>
      <w:proofErr w:type="spellStart"/>
      <w:r>
        <w:t>centar</w:t>
      </w:r>
      <w:proofErr w:type="spellEnd"/>
      <w:r>
        <w:t xml:space="preserve"> </w:t>
      </w:r>
      <w:proofErr w:type="spellStart"/>
      <w:r>
        <w:t>Muzeja</w:t>
      </w:r>
      <w:proofErr w:type="spellEnd"/>
      <w:r>
        <w:t xml:space="preserve"> Turopolja.</w:t>
      </w:r>
    </w:p>
    <w:p w14:paraId="78AD4620" w14:textId="77777777" w:rsidR="00270538" w:rsidRDefault="00270538"/>
    <w:p w14:paraId="2A684272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17CB35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9DCF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EC97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4D7F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EF05C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7BF08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865E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524F9C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D1D29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1497C5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F2D4C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97016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31.689,97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DCDAA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47.508,83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7CC26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</w:t>
            </w:r>
          </w:p>
        </w:tc>
      </w:tr>
    </w:tbl>
    <w:p w14:paraId="5321AAA8" w14:textId="77777777" w:rsidR="00270538" w:rsidRDefault="00270538">
      <w:pPr>
        <w:spacing w:after="0"/>
      </w:pPr>
    </w:p>
    <w:p w14:paraId="4D9CE15F" w14:textId="77777777" w:rsidR="00270538" w:rsidRDefault="005E7725">
      <w:proofErr w:type="spellStart"/>
      <w:r>
        <w:t>Šifra</w:t>
      </w:r>
      <w:proofErr w:type="spellEnd"/>
      <w:r>
        <w:t xml:space="preserve"> 3239 </w:t>
      </w:r>
      <w:proofErr w:type="spellStart"/>
      <w:r>
        <w:t>indeks</w:t>
      </w:r>
      <w:proofErr w:type="spellEnd"/>
      <w:r>
        <w:t xml:space="preserve"> 149,9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digitalne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fotografija</w:t>
      </w:r>
      <w:proofErr w:type="spellEnd"/>
      <w:r>
        <w:t xml:space="preserve"> za </w:t>
      </w:r>
      <w:proofErr w:type="spellStart"/>
      <w:r>
        <w:t>izložbu</w:t>
      </w:r>
      <w:proofErr w:type="spellEnd"/>
      <w:r>
        <w:t xml:space="preserve">, </w:t>
      </w:r>
      <w:proofErr w:type="spellStart"/>
      <w:r>
        <w:t>grafičko</w:t>
      </w:r>
      <w:proofErr w:type="spellEnd"/>
      <w:r>
        <w:t xml:space="preserve"> </w:t>
      </w:r>
      <w:proofErr w:type="spellStart"/>
      <w:r>
        <w:t>oblikovanje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za </w:t>
      </w:r>
      <w:proofErr w:type="spellStart"/>
      <w:r>
        <w:t>tisak</w:t>
      </w:r>
      <w:proofErr w:type="spellEnd"/>
      <w:r>
        <w:t xml:space="preserve">,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panoa</w:t>
      </w:r>
      <w:proofErr w:type="spellEnd"/>
      <w:r>
        <w:t xml:space="preserve"> za </w:t>
      </w:r>
      <w:proofErr w:type="spellStart"/>
      <w:r>
        <w:t>izložbu</w:t>
      </w:r>
      <w:proofErr w:type="spellEnd"/>
      <w:r>
        <w:t xml:space="preserve">, </w:t>
      </w:r>
      <w:proofErr w:type="spellStart"/>
      <w:r>
        <w:t>nastupa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manifestaciji</w:t>
      </w:r>
      <w:proofErr w:type="spellEnd"/>
      <w:r>
        <w:t>.</w:t>
      </w:r>
    </w:p>
    <w:p w14:paraId="167EDA66" w14:textId="77777777" w:rsidR="00270538" w:rsidRDefault="00270538"/>
    <w:p w14:paraId="1B8D2937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5A1AB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2D24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91F6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725D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4489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23A8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B1252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424FFA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933E2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98319C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nespomenuti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B3CC3E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AF449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11.085,68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605AE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15.537,14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4B4F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14:paraId="11385150" w14:textId="77777777" w:rsidR="00270538" w:rsidRDefault="00270538">
      <w:pPr>
        <w:spacing w:after="0"/>
      </w:pPr>
    </w:p>
    <w:p w14:paraId="38943152" w14:textId="77777777" w:rsidR="00270538" w:rsidRDefault="005E7725">
      <w:proofErr w:type="spellStart"/>
      <w:r>
        <w:t>Šifra</w:t>
      </w:r>
      <w:proofErr w:type="spellEnd"/>
      <w:r>
        <w:t xml:space="preserve"> 329 </w:t>
      </w:r>
      <w:proofErr w:type="spellStart"/>
      <w:r>
        <w:t>indeks</w:t>
      </w:r>
      <w:proofErr w:type="spellEnd"/>
      <w:r>
        <w:t xml:space="preserve"> 140,2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za </w:t>
      </w:r>
      <w:proofErr w:type="spellStart"/>
      <w:r>
        <w:t>izložbu</w:t>
      </w:r>
      <w:proofErr w:type="spellEnd"/>
      <w:r>
        <w:t>.</w:t>
      </w:r>
    </w:p>
    <w:p w14:paraId="2834E6AA" w14:textId="77777777" w:rsidR="00270538" w:rsidRDefault="00270538"/>
    <w:p w14:paraId="1081D35D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61138E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654D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10BC7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DA51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2338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E836C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4C2D8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21EEA7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540FEE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F3FBF3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Reprezentacija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54EA1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6368D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1.826,52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7A4AD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3.041,17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5587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166,5</w:t>
            </w:r>
          </w:p>
        </w:tc>
      </w:tr>
    </w:tbl>
    <w:p w14:paraId="5B9C4857" w14:textId="77777777" w:rsidR="00270538" w:rsidRDefault="00270538">
      <w:pPr>
        <w:spacing w:after="0"/>
      </w:pPr>
    </w:p>
    <w:p w14:paraId="15901AF5" w14:textId="77777777" w:rsidR="00270538" w:rsidRDefault="005E7725">
      <w:proofErr w:type="spellStart"/>
      <w:r>
        <w:t>Šifra</w:t>
      </w:r>
      <w:proofErr w:type="spellEnd"/>
      <w:r>
        <w:t xml:space="preserve"> 3293 </w:t>
      </w:r>
      <w:proofErr w:type="spellStart"/>
      <w:r>
        <w:t>indeks</w:t>
      </w:r>
      <w:proofErr w:type="spellEnd"/>
      <w:r>
        <w:t xml:space="preserve"> 16,5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reprezentacija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izložbi</w:t>
      </w:r>
      <w:proofErr w:type="spellEnd"/>
      <w:r>
        <w:t xml:space="preserve">, </w:t>
      </w:r>
      <w:proofErr w:type="spellStart"/>
      <w:r>
        <w:t>skupu</w:t>
      </w:r>
      <w:proofErr w:type="spellEnd"/>
      <w:r>
        <w:t>. </w:t>
      </w:r>
    </w:p>
    <w:p w14:paraId="5466EB51" w14:textId="77777777" w:rsidR="00270538" w:rsidRDefault="00270538"/>
    <w:p w14:paraId="0B5E52C1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305FF1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95EC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6AA2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A5F2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2265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61ED7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9F74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4645BA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A2ADE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B6881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4FF66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069A1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11F85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3304A3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137,0</w:t>
            </w:r>
          </w:p>
        </w:tc>
      </w:tr>
    </w:tbl>
    <w:p w14:paraId="7C0EDACA" w14:textId="77777777" w:rsidR="00270538" w:rsidRDefault="00270538">
      <w:pPr>
        <w:spacing w:after="0"/>
      </w:pPr>
    </w:p>
    <w:p w14:paraId="60EC71BD" w14:textId="77777777" w:rsidR="00270538" w:rsidRDefault="005E7725">
      <w:proofErr w:type="spellStart"/>
      <w:r>
        <w:t>Šifra</w:t>
      </w:r>
      <w:proofErr w:type="spellEnd"/>
      <w:r>
        <w:t xml:space="preserve"> 343 </w:t>
      </w:r>
      <w:proofErr w:type="spellStart"/>
      <w:r>
        <w:t>indeks</w:t>
      </w:r>
      <w:proofErr w:type="spellEnd"/>
      <w:r>
        <w:t xml:space="preserve"> 137,00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financijski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po </w:t>
      </w:r>
      <w:proofErr w:type="spellStart"/>
      <w:r>
        <w:t>opomenama</w:t>
      </w:r>
      <w:proofErr w:type="spellEnd"/>
      <w:r>
        <w:t>. </w:t>
      </w:r>
    </w:p>
    <w:p w14:paraId="69D45153" w14:textId="77777777" w:rsidR="00270538" w:rsidRDefault="00270538"/>
    <w:p w14:paraId="1140CC0D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5B2E10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0BB9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9FB95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547B1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C0C7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82AA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8D2D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58EBF1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6ED2C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5709A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Knjige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umjetnička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djela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izložbene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vrijednosti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D7F97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48DD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1.637,97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139C2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18F1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</w:tbl>
    <w:p w14:paraId="6E9D7F0A" w14:textId="77777777" w:rsidR="00270538" w:rsidRDefault="00270538">
      <w:pPr>
        <w:spacing w:after="0"/>
      </w:pPr>
    </w:p>
    <w:p w14:paraId="2B1F88E9" w14:textId="77777777" w:rsidR="00270538" w:rsidRDefault="005E7725">
      <w:proofErr w:type="spellStart"/>
      <w:r>
        <w:t>Šifra</w:t>
      </w:r>
      <w:proofErr w:type="spellEnd"/>
      <w:r>
        <w:t xml:space="preserve"> 424 </w:t>
      </w:r>
      <w:proofErr w:type="spellStart"/>
      <w:r>
        <w:t>indeks</w:t>
      </w:r>
      <w:proofErr w:type="spellEnd"/>
      <w:r>
        <w:t xml:space="preserve"> 116,7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knjige</w:t>
      </w:r>
      <w:proofErr w:type="spellEnd"/>
      <w:r>
        <w:t xml:space="preserve">, </w:t>
      </w:r>
      <w:proofErr w:type="spellStart"/>
      <w:r>
        <w:t>umjetnička</w:t>
      </w:r>
      <w:proofErr w:type="spellEnd"/>
      <w:r>
        <w:t xml:space="preserve"> </w:t>
      </w:r>
      <w:proofErr w:type="spellStart"/>
      <w:r>
        <w:t>djela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izložbene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kupnje</w:t>
      </w:r>
      <w:proofErr w:type="spellEnd"/>
      <w:r>
        <w:t xml:space="preserve"> </w:t>
      </w:r>
      <w:proofErr w:type="spellStart"/>
      <w:r>
        <w:t>knjiga</w:t>
      </w:r>
      <w:proofErr w:type="spellEnd"/>
      <w:r>
        <w:t xml:space="preserve"> za </w:t>
      </w:r>
      <w:proofErr w:type="spellStart"/>
      <w:r>
        <w:t>muzejsku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>. </w:t>
      </w:r>
    </w:p>
    <w:p w14:paraId="73D42A3C" w14:textId="77777777" w:rsidR="00270538" w:rsidRDefault="00270538"/>
    <w:p w14:paraId="2D65269A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6F88C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69D84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593F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946D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05CA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07B97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23DC7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3EB595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48E54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5127F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Muzejski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izlošci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predmeti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prirodnih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rijetkosti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34DDB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E9B7B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FB51E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42E6B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114,4</w:t>
            </w:r>
          </w:p>
        </w:tc>
      </w:tr>
    </w:tbl>
    <w:p w14:paraId="573A7517" w14:textId="77777777" w:rsidR="00270538" w:rsidRDefault="00270538">
      <w:pPr>
        <w:spacing w:after="0"/>
      </w:pPr>
    </w:p>
    <w:p w14:paraId="78AADC40" w14:textId="77777777" w:rsidR="00270538" w:rsidRDefault="005E7725">
      <w:proofErr w:type="spellStart"/>
      <w:r>
        <w:t>Šifra</w:t>
      </w:r>
      <w:proofErr w:type="spellEnd"/>
      <w:r>
        <w:t xml:space="preserve"> 4243 </w:t>
      </w:r>
      <w:proofErr w:type="spellStart"/>
      <w:r>
        <w:t>indeks</w:t>
      </w:r>
      <w:proofErr w:type="spellEnd"/>
      <w:r>
        <w:t xml:space="preserve"> 114,4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muzejski</w:t>
      </w:r>
      <w:proofErr w:type="spellEnd"/>
      <w:r>
        <w:t xml:space="preserve"> </w:t>
      </w:r>
      <w:proofErr w:type="spellStart"/>
      <w:r>
        <w:t>izlošci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predmeti</w:t>
      </w:r>
      <w:proofErr w:type="spellEnd"/>
      <w:r>
        <w:t xml:space="preserve"> </w:t>
      </w:r>
      <w:proofErr w:type="spellStart"/>
      <w:r>
        <w:t>prirodnih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otkupa</w:t>
      </w:r>
      <w:proofErr w:type="spellEnd"/>
      <w:r>
        <w:t xml:space="preserve"> </w:t>
      </w:r>
      <w:proofErr w:type="spellStart"/>
      <w:r>
        <w:t>muzejskih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>.</w:t>
      </w:r>
    </w:p>
    <w:p w14:paraId="4DD08ED7" w14:textId="77777777" w:rsidR="00270538" w:rsidRDefault="00270538"/>
    <w:p w14:paraId="5504B73B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4EA36E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F62634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4759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BF7CB2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F688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A78F5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F2E6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7A2DD0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5B260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28F6D4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preventivni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zdravstveni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pregledi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zaposlenika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1D080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F87BC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B1E48E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9CBD6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125,9</w:t>
            </w:r>
          </w:p>
        </w:tc>
      </w:tr>
    </w:tbl>
    <w:p w14:paraId="4A932736" w14:textId="77777777" w:rsidR="00270538" w:rsidRDefault="00270538">
      <w:pPr>
        <w:spacing w:after="0"/>
      </w:pPr>
    </w:p>
    <w:p w14:paraId="0A542E25" w14:textId="77777777" w:rsidR="00270538" w:rsidRDefault="005E7725">
      <w:proofErr w:type="spellStart"/>
      <w:r>
        <w:t>Šifra</w:t>
      </w:r>
      <w:proofErr w:type="spellEnd"/>
      <w:r>
        <w:t xml:space="preserve"> 32361 </w:t>
      </w:r>
      <w:proofErr w:type="spellStart"/>
      <w:r>
        <w:t>indeks</w:t>
      </w:r>
      <w:proofErr w:type="spellEnd"/>
      <w:r>
        <w:t xml:space="preserve"> 125,9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obvezni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preventivni</w:t>
      </w:r>
      <w:proofErr w:type="spellEnd"/>
      <w:r>
        <w:t xml:space="preserve">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pregledi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cijena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>.</w:t>
      </w:r>
    </w:p>
    <w:p w14:paraId="5A7AE7A7" w14:textId="77777777" w:rsidR="00270538" w:rsidRDefault="00270538"/>
    <w:p w14:paraId="3815E3EF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Bilanca</w:t>
      </w:r>
      <w:proofErr w:type="spellEnd"/>
    </w:p>
    <w:p w14:paraId="3AD621BD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20F82F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D9284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BE73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30421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207E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71A2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3A75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73E6D4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A66C6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5B316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rashode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44841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4C9C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41.539,40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E44F6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69.589,81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F897D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167,5</w:t>
            </w:r>
          </w:p>
        </w:tc>
      </w:tr>
    </w:tbl>
    <w:p w14:paraId="79834144" w14:textId="77777777" w:rsidR="00270538" w:rsidRDefault="00270538">
      <w:pPr>
        <w:spacing w:after="0"/>
      </w:pPr>
    </w:p>
    <w:p w14:paraId="3B6BBE52" w14:textId="77777777" w:rsidR="00270538" w:rsidRDefault="005E7725">
      <w:r>
        <w:t xml:space="preserve">23 </w:t>
      </w:r>
      <w:proofErr w:type="spellStart"/>
      <w:r>
        <w:t>indeks</w:t>
      </w:r>
      <w:proofErr w:type="spellEnd"/>
      <w:r>
        <w:t xml:space="preserve"> 167,5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dodatnog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>. </w:t>
      </w:r>
    </w:p>
    <w:p w14:paraId="2F7129EE" w14:textId="77777777" w:rsidR="00270538" w:rsidRDefault="00270538"/>
    <w:p w14:paraId="236256A5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18C261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2C0D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148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A6F9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8C6AF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AAE997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FFA4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78D165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317243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F974C5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materijalne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169EE" w14:textId="77777777" w:rsidR="00270538" w:rsidRDefault="005E772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9AA6C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22.527,05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1BDEB4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44.870,24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B87B2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199,2</w:t>
            </w:r>
          </w:p>
        </w:tc>
      </w:tr>
    </w:tbl>
    <w:p w14:paraId="14222019" w14:textId="77777777" w:rsidR="00270538" w:rsidRDefault="00270538">
      <w:pPr>
        <w:spacing w:after="0"/>
      </w:pPr>
    </w:p>
    <w:p w14:paraId="7C362908" w14:textId="77777777" w:rsidR="00270538" w:rsidRDefault="005E7725">
      <w:r>
        <w:t xml:space="preserve">232 </w:t>
      </w:r>
      <w:proofErr w:type="spellStart"/>
      <w:r>
        <w:t>indeks</w:t>
      </w:r>
      <w:proofErr w:type="spellEnd"/>
      <w:r>
        <w:t xml:space="preserve"> 199,2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rasta </w:t>
      </w:r>
      <w:proofErr w:type="spellStart"/>
      <w:r>
        <w:t>cijena</w:t>
      </w:r>
      <w:proofErr w:type="spellEnd"/>
      <w:r>
        <w:t>. </w:t>
      </w:r>
    </w:p>
    <w:p w14:paraId="44D122D3" w14:textId="77777777" w:rsidR="00270538" w:rsidRDefault="00270538"/>
    <w:p w14:paraId="2631C980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19A245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C0CF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A34EC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D2FB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CE54A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4FEE1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2E40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013961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F9DE0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985CEA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rashode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13BDF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2CE90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12.282,57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B2EDF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19.793,70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2029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161,2</w:t>
            </w:r>
          </w:p>
        </w:tc>
      </w:tr>
    </w:tbl>
    <w:p w14:paraId="11600EC8" w14:textId="77777777" w:rsidR="00270538" w:rsidRDefault="00270538">
      <w:pPr>
        <w:spacing w:after="0"/>
      </w:pPr>
    </w:p>
    <w:p w14:paraId="2D23B6BF" w14:textId="77777777" w:rsidR="00270538" w:rsidRDefault="005E7725">
      <w:r>
        <w:t xml:space="preserve">Dio 23 </w:t>
      </w:r>
      <w:proofErr w:type="spellStart"/>
      <w:r>
        <w:t>indeks</w:t>
      </w:r>
      <w:proofErr w:type="spellEnd"/>
      <w:r>
        <w:t xml:space="preserve"> 161,2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- </w:t>
      </w:r>
      <w:proofErr w:type="spellStart"/>
      <w:r>
        <w:t>dospjele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račune</w:t>
      </w:r>
      <w:proofErr w:type="spellEnd"/>
      <w:r>
        <w:t xml:space="preserve"> s </w:t>
      </w:r>
      <w:proofErr w:type="spellStart"/>
      <w:r>
        <w:t>dospijećem</w:t>
      </w:r>
      <w:proofErr w:type="spellEnd"/>
      <w:r>
        <w:t xml:space="preserve"> 31.12.2025. </w:t>
      </w:r>
      <w:proofErr w:type="spellStart"/>
      <w:r>
        <w:t>godine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podmireni</w:t>
      </w:r>
      <w:proofErr w:type="spellEnd"/>
      <w:r>
        <w:t xml:space="preserve"> u </w:t>
      </w:r>
      <w:proofErr w:type="spellStart"/>
      <w:r>
        <w:t>valuti</w:t>
      </w:r>
      <w:proofErr w:type="spellEnd"/>
      <w:r>
        <w:t>. </w:t>
      </w:r>
    </w:p>
    <w:p w14:paraId="4E26832F" w14:textId="77777777" w:rsidR="00270538" w:rsidRDefault="00270538"/>
    <w:p w14:paraId="36837056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0C2BE8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975B2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5216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044DD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EAC3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0F92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3BBE5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270D9C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08C32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8F1189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rashode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09786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1D8F5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29.256,83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4CEA5A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49.796,11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72CC7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170,2</w:t>
            </w:r>
          </w:p>
        </w:tc>
      </w:tr>
    </w:tbl>
    <w:p w14:paraId="504BA54B" w14:textId="77777777" w:rsidR="00270538" w:rsidRDefault="00270538">
      <w:pPr>
        <w:spacing w:after="0"/>
      </w:pPr>
    </w:p>
    <w:p w14:paraId="011107DD" w14:textId="77777777" w:rsidR="00270538" w:rsidRDefault="005E7725">
      <w:r>
        <w:t xml:space="preserve">Dio 23 </w:t>
      </w:r>
      <w:proofErr w:type="spellStart"/>
      <w:r>
        <w:t>indeks</w:t>
      </w:r>
      <w:proofErr w:type="spellEnd"/>
      <w:r>
        <w:t xml:space="preserve"> 170,2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za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- </w:t>
      </w:r>
      <w:proofErr w:type="spellStart"/>
      <w:r>
        <w:t>nedospjele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plaću</w:t>
      </w:r>
      <w:proofErr w:type="spellEnd"/>
      <w:r>
        <w:t xml:space="preserve">, </w:t>
      </w:r>
      <w:proofErr w:type="spellStart"/>
      <w:r>
        <w:t>račune</w:t>
      </w:r>
      <w:proofErr w:type="spellEnd"/>
      <w:r>
        <w:t xml:space="preserve">,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djelu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s </w:t>
      </w:r>
      <w:proofErr w:type="spellStart"/>
      <w:r>
        <w:t>dospijećem</w:t>
      </w:r>
      <w:proofErr w:type="spellEnd"/>
      <w:r>
        <w:t xml:space="preserve"> 1. </w:t>
      </w:r>
      <w:proofErr w:type="spellStart"/>
      <w:r>
        <w:t>mjesec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0567660E" w14:textId="77777777" w:rsidR="00270538" w:rsidRDefault="00270538"/>
    <w:p w14:paraId="6AC2E679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70538" w14:paraId="7FFAD2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0AEE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134ABB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6CE36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1C522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4893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FB621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40B261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E23C7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5F6E39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dospjele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44DE3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24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FCB464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1.853,92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A11946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3.666,55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36E11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197,8</w:t>
            </w:r>
          </w:p>
        </w:tc>
      </w:tr>
    </w:tbl>
    <w:p w14:paraId="16586D6E" w14:textId="77777777" w:rsidR="00270538" w:rsidRDefault="00270538">
      <w:pPr>
        <w:spacing w:after="0"/>
      </w:pPr>
    </w:p>
    <w:p w14:paraId="596AC5D0" w14:textId="77777777" w:rsidR="00270538" w:rsidRDefault="005E7725">
      <w:r>
        <w:t xml:space="preserve">Dio 24 </w:t>
      </w:r>
      <w:proofErr w:type="spellStart"/>
      <w:r>
        <w:t>indeks</w:t>
      </w:r>
      <w:proofErr w:type="spellEnd"/>
      <w:r>
        <w:t xml:space="preserve"> 197,8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za </w:t>
      </w:r>
      <w:proofErr w:type="spellStart"/>
      <w:r>
        <w:t>kupnjom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>.</w:t>
      </w:r>
    </w:p>
    <w:p w14:paraId="7033A6E2" w14:textId="77777777" w:rsidR="00270538" w:rsidRDefault="00270538"/>
    <w:p w14:paraId="089622A4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02BBAED8" w14:textId="77777777" w:rsidR="00270538" w:rsidRDefault="005E7725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70538" w14:paraId="22B56D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F4FF5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B72C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E0D30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CB153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B6A2E" w14:textId="77777777" w:rsidR="00270538" w:rsidRDefault="005E7725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270538" w14:paraId="2EE46C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E45B0" w14:textId="77777777" w:rsidR="00270538" w:rsidRDefault="0027053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34454E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V008+D23+D24</w:t>
            </w:r>
            <w:proofErr w:type="spellEnd"/>
            <w:r>
              <w:rPr>
                <w:sz w:val="18"/>
              </w:rPr>
              <w:t xml:space="preserve">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</w:t>
            </w:r>
            <w:proofErr w:type="spellStart"/>
            <w:r>
              <w:rPr>
                <w:sz w:val="18"/>
              </w:rPr>
              <w:t>D27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3AF68" w14:textId="77777777" w:rsidR="00270538" w:rsidRDefault="005E772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V007</w:t>
            </w:r>
            <w:proofErr w:type="spellEnd"/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CFC2D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23.460,25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E32A8F" w14:textId="77777777" w:rsidR="00270538" w:rsidRDefault="005E772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148F45" w14:textId="77777777" w:rsidR="00270538" w:rsidRDefault="00270538">
      <w:pPr>
        <w:spacing w:after="0"/>
      </w:pPr>
    </w:p>
    <w:p w14:paraId="0BC911C7" w14:textId="77777777" w:rsidR="00270538" w:rsidRDefault="005E7725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23.460,25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računi</w:t>
      </w:r>
      <w:proofErr w:type="spellEnd"/>
      <w:r>
        <w:t xml:space="preserve"> s </w:t>
      </w:r>
      <w:proofErr w:type="spellStart"/>
      <w:r>
        <w:t>dospijećem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u 12. </w:t>
      </w:r>
      <w:proofErr w:type="spellStart"/>
      <w:r>
        <w:t>mjesecu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a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podmireni</w:t>
      </w:r>
      <w:proofErr w:type="spellEnd"/>
      <w:r>
        <w:t xml:space="preserve"> u 1. </w:t>
      </w:r>
      <w:proofErr w:type="spellStart"/>
      <w:r>
        <w:t>mjesecu</w:t>
      </w:r>
      <w:proofErr w:type="spellEnd"/>
      <w:r>
        <w:t xml:space="preserve"> 2026. </w:t>
      </w:r>
      <w:proofErr w:type="spellStart"/>
      <w:r>
        <w:t>godine</w:t>
      </w:r>
      <w:proofErr w:type="spellEnd"/>
      <w:r>
        <w:t>.</w:t>
      </w:r>
    </w:p>
    <w:p w14:paraId="3BBBAC40" w14:textId="77777777" w:rsidR="00270538" w:rsidRDefault="00270538"/>
    <w:sectPr w:rsidR="00270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38"/>
    <w:rsid w:val="00270538"/>
    <w:rsid w:val="005E7725"/>
    <w:rsid w:val="008356E5"/>
    <w:rsid w:val="0084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536D"/>
  <w15:docId w15:val="{B25D1D3C-1B30-451A-894E-667FD514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MajaMuzejTuropolja</dc:creator>
  <cp:lastModifiedBy>Muzej2</cp:lastModifiedBy>
  <cp:revision>2</cp:revision>
  <cp:lastPrinted>2026-01-30T16:26:00Z</cp:lastPrinted>
  <dcterms:created xsi:type="dcterms:W3CDTF">2026-01-30T16:27:00Z</dcterms:created>
  <dcterms:modified xsi:type="dcterms:W3CDTF">2026-01-30T16:27:00Z</dcterms:modified>
</cp:coreProperties>
</file>